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8BC8B" w14:textId="0D4FB1D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8641CE" w:rsidRPr="008641CE">
        <w:rPr>
          <w:rFonts w:ascii="Arial" w:eastAsia="SimSun" w:hAnsi="Arial" w:cs="Times New Roman"/>
          <w:b/>
          <w:bCs/>
          <w:sz w:val="24"/>
          <w:szCs w:val="20"/>
          <w:lang w:eastAsia="ja-JP"/>
        </w:rPr>
        <w:t>R4-250444</w:t>
      </w:r>
      <w:r w:rsidR="008641CE">
        <w:rPr>
          <w:rFonts w:ascii="Arial" w:eastAsia="SimSun" w:hAnsi="Arial" w:cs="Times New Roman"/>
          <w:b/>
          <w:bCs/>
          <w:sz w:val="24"/>
          <w:szCs w:val="20"/>
          <w:lang w:eastAsia="ja-JP"/>
        </w:rPr>
        <w:t>6</w:t>
      </w:r>
    </w:p>
    <w:bookmarkEnd w:id="0"/>
    <w:bookmarkEnd w:id="1"/>
    <w:p w14:paraId="3D45FA56"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40A186E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FC1986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1004F48" w14:textId="3ADD97E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C2DFC">
        <w:rPr>
          <w:rFonts w:ascii="Arial" w:eastAsia="Calibri" w:hAnsi="Arial" w:cs="Arial"/>
          <w:b/>
          <w:bCs/>
          <w:sz w:val="24"/>
        </w:rPr>
        <w:t>RRM Performance Requirements for less than 5 MHz over NTN</w:t>
      </w:r>
    </w:p>
    <w:p w14:paraId="53EE48E8" w14:textId="5A3F54F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96291">
        <w:rPr>
          <w:rFonts w:ascii="Arial" w:eastAsia="MS Mincho" w:hAnsi="Arial" w:cs="Arial"/>
          <w:b/>
          <w:bCs/>
          <w:sz w:val="24"/>
          <w:szCs w:val="20"/>
        </w:rPr>
        <w:t>7.10.3.</w:t>
      </w:r>
      <w:r w:rsidR="00FC2DFC">
        <w:rPr>
          <w:rFonts w:ascii="Arial" w:eastAsia="MS Mincho" w:hAnsi="Arial" w:cs="Arial"/>
          <w:b/>
          <w:bCs/>
          <w:sz w:val="24"/>
          <w:szCs w:val="20"/>
        </w:rPr>
        <w:t>5</w:t>
      </w:r>
    </w:p>
    <w:p w14:paraId="776FDE9E"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9BC5AA6" w14:textId="77777777" w:rsidR="00E323E9" w:rsidRPr="008F786B" w:rsidRDefault="00E323E9" w:rsidP="00841BCD">
      <w:pPr>
        <w:tabs>
          <w:tab w:val="left" w:pos="1985"/>
        </w:tabs>
        <w:rPr>
          <w:rFonts w:ascii="Arial" w:eastAsia="Calibri" w:hAnsi="Arial" w:cs="Arial"/>
          <w:b/>
          <w:bCs/>
          <w:sz w:val="24"/>
        </w:rPr>
      </w:pPr>
    </w:p>
    <w:p w14:paraId="69EE408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FAA9B87" w14:textId="77777777" w:rsidR="00FC2DFC" w:rsidRDefault="00FC2DFC" w:rsidP="00FC2DFC">
      <w:pPr>
        <w:rPr>
          <w:lang w:val="en-US"/>
        </w:rPr>
      </w:pPr>
      <w:bookmarkStart w:id="4" w:name="_Toc116995842"/>
      <w:r>
        <w:rPr>
          <w:lang w:val="en-US"/>
        </w:rPr>
        <w:t xml:space="preserve">In RAN #103, RAN plenary has approved the RAN 4 WI for NTN features </w:t>
      </w:r>
      <w:r>
        <w:rPr>
          <w:lang w:val="en-US"/>
        </w:rPr>
        <w:fldChar w:fldCharType="begin"/>
      </w:r>
      <w:r>
        <w:rPr>
          <w:lang w:val="en-US"/>
        </w:rPr>
        <w:instrText xml:space="preserve"> REF _Ref173963276 \r \h </w:instrText>
      </w:r>
      <w:r>
        <w:rPr>
          <w:lang w:val="en-US"/>
        </w:rPr>
      </w:r>
      <w:r>
        <w:rPr>
          <w:lang w:val="en-US"/>
        </w:rPr>
        <w:fldChar w:fldCharType="separate"/>
      </w:r>
      <w:r>
        <w:rPr>
          <w:lang w:val="en-US"/>
        </w:rPr>
        <w:t>[1]</w:t>
      </w:r>
      <w:r>
        <w:rPr>
          <w:lang w:val="en-US"/>
        </w:rPr>
        <w:fldChar w:fldCharType="end"/>
      </w:r>
      <w:r>
        <w:rPr>
          <w:lang w:val="en-US"/>
        </w:rPr>
        <w:t xml:space="preserve">. The WI was then updated in RAN #104 </w:t>
      </w:r>
      <w:r>
        <w:rPr>
          <w:lang w:val="en-US"/>
        </w:rPr>
        <w:fldChar w:fldCharType="begin"/>
      </w:r>
      <w:r>
        <w:rPr>
          <w:lang w:val="en-US"/>
        </w:rPr>
        <w:instrText xml:space="preserve"> REF _Ref173963266 \r \h </w:instrText>
      </w:r>
      <w:r>
        <w:rPr>
          <w:lang w:val="en-US"/>
        </w:rPr>
      </w:r>
      <w:r>
        <w:rPr>
          <w:lang w:val="en-US"/>
        </w:rPr>
        <w:fldChar w:fldCharType="separate"/>
      </w:r>
      <w:r>
        <w:rPr>
          <w:lang w:val="en-US"/>
        </w:rPr>
        <w:t>[2]</w:t>
      </w:r>
      <w:r>
        <w:rPr>
          <w:lang w:val="en-US"/>
        </w:rPr>
        <w:fldChar w:fldCharType="end"/>
      </w:r>
      <w:r>
        <w:rPr>
          <w:lang w:val="en-US"/>
        </w:rPr>
        <w:t>. One of the topics for this WI is the operation of NTN in less than 5 MHz whose objectives are presented below:</w:t>
      </w:r>
    </w:p>
    <w:p w14:paraId="4F1D9196" w14:textId="77777777" w:rsidR="00FC2DFC" w:rsidRDefault="00FC2DFC" w:rsidP="00FC2DFC">
      <w:pPr>
        <w:rPr>
          <w:lang w:val="en-US"/>
        </w:rPr>
      </w:pPr>
    </w:p>
    <w:tbl>
      <w:tblPr>
        <w:tblStyle w:val="TableGrid"/>
        <w:tblW w:w="0" w:type="auto"/>
        <w:tblLook w:val="04A0" w:firstRow="1" w:lastRow="0" w:firstColumn="1" w:lastColumn="0" w:noHBand="0" w:noVBand="1"/>
      </w:tblPr>
      <w:tblGrid>
        <w:gridCol w:w="9617"/>
      </w:tblGrid>
      <w:tr w:rsidR="00FC2DFC" w14:paraId="0016B2CF" w14:textId="77777777" w:rsidTr="00C952A6">
        <w:tc>
          <w:tcPr>
            <w:tcW w:w="9617" w:type="dxa"/>
          </w:tcPr>
          <w:p w14:paraId="3C6717F6" w14:textId="77777777" w:rsidR="00FC2DFC" w:rsidRPr="0078713A" w:rsidRDefault="00FC2DFC" w:rsidP="00C952A6">
            <w:pPr>
              <w:spacing w:line="276" w:lineRule="auto"/>
              <w:jc w:val="both"/>
              <w:rPr>
                <w:rFonts w:ascii="Yu Mincho" w:eastAsia="Yu Mincho" w:hAnsi="Yu Mincho" w:cs="Times New Roman"/>
                <w:b/>
                <w:kern w:val="2"/>
                <w:sz w:val="24"/>
                <w:szCs w:val="24"/>
                <w:lang w:eastAsia="zh-CN"/>
                <w14:ligatures w14:val="standardContextual"/>
              </w:rPr>
            </w:pPr>
            <w:r w:rsidRPr="0078713A">
              <w:rPr>
                <w:rFonts w:ascii="Yu Mincho" w:eastAsia="Yu Mincho" w:hAnsi="Yu Mincho" w:cs="Times New Roman" w:hint="eastAsia"/>
                <w:b/>
                <w:kern w:val="2"/>
                <w:sz w:val="24"/>
                <w:szCs w:val="24"/>
                <w:lang w:eastAsia="zh-CN"/>
                <w14:ligatures w14:val="standardContextual"/>
              </w:rPr>
              <w:t>Less than 5MHz for NTN</w:t>
            </w:r>
          </w:p>
          <w:p w14:paraId="5A0F047E" w14:textId="77777777" w:rsidR="00FC2DFC" w:rsidRPr="0078713A" w:rsidRDefault="00FC2DFC" w:rsidP="00FC2DFC">
            <w:pPr>
              <w:widowControl w:val="0"/>
              <w:numPr>
                <w:ilvl w:val="0"/>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system parameters for channel bandwidth of less than 5 MHz for NR-NTN (NR based Non-Terrestrial Networks) in FR1-NTN bands</w:t>
            </w:r>
          </w:p>
          <w:p w14:paraId="0D2C4499" w14:textId="77777777" w:rsidR="00FC2DFC" w:rsidRPr="0078713A" w:rsidRDefault="00FC2DFC" w:rsidP="00FC2DFC">
            <w:pPr>
              <w:widowControl w:val="0"/>
              <w:numPr>
                <w:ilvl w:val="1"/>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Consider the NR-NTN bands n255, n256, and n254</w:t>
            </w:r>
          </w:p>
          <w:p w14:paraId="7650477E" w14:textId="77777777" w:rsidR="00FC2DFC" w:rsidRPr="0078713A" w:rsidRDefault="00FC2DFC" w:rsidP="00FC2DFC">
            <w:pPr>
              <w:widowControl w:val="0"/>
              <w:numPr>
                <w:ilvl w:val="1"/>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Add less than 5MHz channel bandwidth</w:t>
            </w:r>
          </w:p>
          <w:p w14:paraId="00D3A989" w14:textId="77777777" w:rsidR="00FC2DFC" w:rsidRPr="0078713A" w:rsidRDefault="00FC2DFC" w:rsidP="00FC2DFC">
            <w:pPr>
              <w:widowControl w:val="0"/>
              <w:numPr>
                <w:ilvl w:val="2"/>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 xml:space="preserve"> 3MHz with the RAN1 design in Rel-18</w:t>
            </w:r>
          </w:p>
          <w:p w14:paraId="531B8A84" w14:textId="77777777" w:rsidR="00FC2DFC" w:rsidRPr="0078713A" w:rsidRDefault="00FC2DFC" w:rsidP="00FC2DFC">
            <w:pPr>
              <w:widowControl w:val="0"/>
              <w:numPr>
                <w:ilvl w:val="1"/>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Investigate and if necessary, specify the additional synchronization (sync) raster(s) for the additional channel bandwidth</w:t>
            </w:r>
          </w:p>
          <w:p w14:paraId="629DC810" w14:textId="77777777" w:rsidR="00FC2DFC" w:rsidRPr="0078713A" w:rsidRDefault="00FC2DFC" w:rsidP="00FC2DFC">
            <w:pPr>
              <w:widowControl w:val="0"/>
              <w:numPr>
                <w:ilvl w:val="2"/>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Leverage the work on less than 5MHz for TN</w:t>
            </w:r>
          </w:p>
          <w:p w14:paraId="5A10F882" w14:textId="77777777" w:rsidR="00FC2DFC" w:rsidRPr="0078713A" w:rsidRDefault="00FC2DFC" w:rsidP="00FC2DFC">
            <w:pPr>
              <w:widowControl w:val="0"/>
              <w:numPr>
                <w:ilvl w:val="1"/>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Note: no RAN1 impact is expected</w:t>
            </w:r>
          </w:p>
          <w:p w14:paraId="581A863E" w14:textId="77777777" w:rsidR="00FC2DFC" w:rsidRPr="0078713A" w:rsidRDefault="00FC2DFC" w:rsidP="00FC2DFC">
            <w:pPr>
              <w:widowControl w:val="0"/>
              <w:numPr>
                <w:ilvl w:val="0"/>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SAN RF core requirements for NR-NTN in FR1-NTN bands</w:t>
            </w:r>
          </w:p>
          <w:p w14:paraId="0C9CCB66" w14:textId="77777777" w:rsidR="00FC2DFC" w:rsidRPr="0078713A" w:rsidRDefault="00FC2DFC" w:rsidP="00FC2DFC">
            <w:pPr>
              <w:widowControl w:val="0"/>
              <w:numPr>
                <w:ilvl w:val="0"/>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NR-NTN UE RF core requirements for less than 5 MHz for NR-NTN in FR1-NTN bands</w:t>
            </w:r>
          </w:p>
          <w:p w14:paraId="7633B77B" w14:textId="77777777" w:rsidR="00FC2DFC" w:rsidRPr="0078713A" w:rsidRDefault="00FC2DFC" w:rsidP="00FC2DFC">
            <w:pPr>
              <w:widowControl w:val="0"/>
              <w:numPr>
                <w:ilvl w:val="1"/>
                <w:numId w:val="31"/>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Focus on power class 3 (PC3) for Tx RF requirements</w:t>
            </w:r>
          </w:p>
          <w:p w14:paraId="3912E910" w14:textId="77777777" w:rsidR="00FC2DFC" w:rsidRPr="00757826" w:rsidRDefault="00FC2DFC" w:rsidP="00FC2DFC">
            <w:pPr>
              <w:widowControl w:val="0"/>
              <w:numPr>
                <w:ilvl w:val="0"/>
                <w:numId w:val="31"/>
              </w:numPr>
              <w:spacing w:line="276" w:lineRule="auto"/>
              <w:rPr>
                <w:rFonts w:eastAsia="Yu Mincho" w:cs="Times New Roman"/>
                <w:kern w:val="2"/>
                <w:szCs w:val="20"/>
                <w:highlight w:val="yellow"/>
                <w:lang w:val="en-US" w:eastAsia="zh-CN"/>
                <w14:ligatures w14:val="standardContextual"/>
              </w:rPr>
            </w:pPr>
            <w:r w:rsidRPr="00757826">
              <w:rPr>
                <w:rFonts w:eastAsia="Yu Mincho" w:cs="Times New Roman"/>
                <w:kern w:val="2"/>
                <w:szCs w:val="20"/>
                <w:highlight w:val="yellow"/>
                <w:lang w:val="en-US" w:eastAsia="zh-CN"/>
                <w14:ligatures w14:val="standardContextual"/>
              </w:rPr>
              <w:t>Specify the necessary RRM core requirements for less than 5 MHz for NR-NTN in FR1-NTN bands</w:t>
            </w:r>
          </w:p>
          <w:p w14:paraId="2583DC90" w14:textId="77777777" w:rsidR="00FC2DFC" w:rsidRPr="0078713A" w:rsidRDefault="00FC2DFC" w:rsidP="00FC2DFC">
            <w:pPr>
              <w:widowControl w:val="0"/>
              <w:numPr>
                <w:ilvl w:val="0"/>
                <w:numId w:val="31"/>
              </w:numPr>
              <w:spacing w:after="180"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signaling to support the above objectives</w:t>
            </w:r>
          </w:p>
          <w:p w14:paraId="4EB13A4E" w14:textId="77777777" w:rsidR="00FC2DFC" w:rsidRDefault="00FC2DFC" w:rsidP="00C952A6">
            <w:pPr>
              <w:rPr>
                <w:lang w:val="en-US"/>
              </w:rPr>
            </w:pPr>
          </w:p>
        </w:tc>
      </w:tr>
    </w:tbl>
    <w:p w14:paraId="01D654F8" w14:textId="77777777" w:rsidR="00FC2DFC" w:rsidRDefault="00FC2DFC" w:rsidP="00FC2DFC"/>
    <w:p w14:paraId="16865031" w14:textId="77777777" w:rsidR="00FC2DFC" w:rsidRPr="008F786B" w:rsidRDefault="00FC2DFC" w:rsidP="00FC2DFC">
      <w:r>
        <w:t xml:space="preserve">Throughout the first meetings in this WI good progress was achieved by reusing most of the requirements from the less than 5 MHz WI for terrestrial networks with the necessary adaptation for NTN. There are a few open issues left, one of them, which is the topic of this document is related to requirements for SSB time index detection. </w:t>
      </w:r>
    </w:p>
    <w:p w14:paraId="662A1360" w14:textId="41A49160" w:rsidR="00E67C26" w:rsidRDefault="003B659E" w:rsidP="00FC2DFC">
      <w:pPr>
        <w:pStyle w:val="RAN4H1"/>
      </w:pPr>
      <w:r w:rsidRPr="008F786B">
        <w:t>Discussion</w:t>
      </w:r>
      <w:bookmarkEnd w:id="4"/>
    </w:p>
    <w:p w14:paraId="353DF9EA" w14:textId="49455EA6" w:rsidR="00FC2DFC" w:rsidRDefault="00FC2DFC" w:rsidP="00FC2DFC">
      <w:r>
        <w:t>The principle used for Less than 5 MHz test cases in</w:t>
      </w:r>
      <w:r w:rsidR="006465BF">
        <w:t xml:space="preserve"> terrestrial networks (Rel-18) was </w:t>
      </w:r>
      <w:proofErr w:type="gramStart"/>
      <w:r w:rsidR="006465BF">
        <w:t>that,</w:t>
      </w:r>
      <w:proofErr w:type="gramEnd"/>
      <w:r w:rsidR="006465BF">
        <w:t xml:space="preserve"> the performance requirements (the definition of test cases) should rely as most as possible on legacy requirements, and only the differential (delta) of the test cases shall be introduced. The only test cases introduced were:</w:t>
      </w:r>
    </w:p>
    <w:p w14:paraId="38B96AEC" w14:textId="77777777" w:rsidR="00FE3CCC" w:rsidRPr="00D525E3" w:rsidRDefault="00FE3CCC" w:rsidP="00D525E3">
      <w:r w:rsidRPr="00FE3CCC">
        <w:rPr>
          <w:rFonts w:eastAsia="Times New Roman" w:cs="Times New Roman"/>
          <w:sz w:val="24"/>
          <w:szCs w:val="24"/>
          <w:lang w:val="en-US" w:eastAsia="zh-CN"/>
        </w:rPr>
        <w:t> </w:t>
      </w:r>
    </w:p>
    <w:tbl>
      <w:tblPr>
        <w:tblStyle w:val="Style1"/>
        <w:tblW w:w="0" w:type="auto"/>
        <w:tblLook w:val="04A0" w:firstRow="1" w:lastRow="0" w:firstColumn="1" w:lastColumn="0" w:noHBand="0" w:noVBand="1"/>
      </w:tblPr>
      <w:tblGrid>
        <w:gridCol w:w="2122"/>
        <w:gridCol w:w="7495"/>
      </w:tblGrid>
      <w:tr w:rsidR="00FE3CCC" w:rsidRPr="00FE3CCC" w14:paraId="2CD453EB" w14:textId="77777777" w:rsidTr="00302C0C">
        <w:trPr>
          <w:cnfStyle w:val="100000000000" w:firstRow="1" w:lastRow="0" w:firstColumn="0" w:lastColumn="0" w:oddVBand="0" w:evenVBand="0" w:oddHBand="0" w:evenHBand="0" w:firstRowFirstColumn="0" w:firstRowLastColumn="0" w:lastRowFirstColumn="0" w:lastRowLastColumn="0"/>
        </w:trPr>
        <w:tc>
          <w:tcPr>
            <w:tcW w:w="2122" w:type="dxa"/>
            <w:hideMark/>
          </w:tcPr>
          <w:p w14:paraId="3C47BC92" w14:textId="77777777" w:rsidR="00FE3CCC" w:rsidRPr="00D525E3" w:rsidRDefault="00FE3CCC" w:rsidP="00D525E3">
            <w:pPr>
              <w:spacing w:after="160" w:line="259" w:lineRule="auto"/>
              <w:jc w:val="left"/>
            </w:pPr>
            <w:r w:rsidRPr="00D525E3">
              <w:t>TC #</w:t>
            </w:r>
          </w:p>
        </w:tc>
        <w:tc>
          <w:tcPr>
            <w:tcW w:w="7495" w:type="dxa"/>
            <w:hideMark/>
          </w:tcPr>
          <w:p w14:paraId="271A08E7" w14:textId="77777777" w:rsidR="00FE3CCC" w:rsidRPr="00D525E3" w:rsidRDefault="00FE3CCC" w:rsidP="00D525E3">
            <w:pPr>
              <w:spacing w:after="160" w:line="259" w:lineRule="auto"/>
              <w:jc w:val="left"/>
            </w:pPr>
            <w:r w:rsidRPr="00D525E3">
              <w:t>Description</w:t>
            </w:r>
          </w:p>
        </w:tc>
      </w:tr>
      <w:tr w:rsidR="00FE3CCC" w:rsidRPr="00FE3CCC" w14:paraId="1CEF2A5B" w14:textId="77777777" w:rsidTr="00302C0C">
        <w:tc>
          <w:tcPr>
            <w:tcW w:w="2122" w:type="dxa"/>
            <w:hideMark/>
          </w:tcPr>
          <w:p w14:paraId="68A43B94" w14:textId="77777777" w:rsidR="00FE3CCC" w:rsidRPr="00D525E3" w:rsidRDefault="00FE3CCC" w:rsidP="00D525E3">
            <w:r w:rsidRPr="00D525E3">
              <w:t>IDLE-1</w:t>
            </w:r>
          </w:p>
        </w:tc>
        <w:tc>
          <w:tcPr>
            <w:tcW w:w="7495" w:type="dxa"/>
            <w:hideMark/>
          </w:tcPr>
          <w:p w14:paraId="7F8E9B77" w14:textId="77777777" w:rsidR="00FE3CCC" w:rsidRPr="00D525E3" w:rsidRDefault="00FE3CCC" w:rsidP="00D525E3">
            <w:r w:rsidRPr="00D525E3">
              <w:t>Cell reselection, Unknown target cell</w:t>
            </w:r>
          </w:p>
        </w:tc>
      </w:tr>
      <w:tr w:rsidR="00FE3CCC" w:rsidRPr="00FE3CCC" w14:paraId="57E63D91" w14:textId="77777777" w:rsidTr="00302C0C">
        <w:tc>
          <w:tcPr>
            <w:tcW w:w="2122" w:type="dxa"/>
            <w:hideMark/>
          </w:tcPr>
          <w:p w14:paraId="1E389DEE" w14:textId="77777777" w:rsidR="00FE3CCC" w:rsidRPr="00D525E3" w:rsidRDefault="00FE3CCC" w:rsidP="00D525E3">
            <w:r w:rsidRPr="00D525E3">
              <w:t>HO-1</w:t>
            </w:r>
          </w:p>
        </w:tc>
        <w:tc>
          <w:tcPr>
            <w:tcW w:w="7495" w:type="dxa"/>
            <w:hideMark/>
          </w:tcPr>
          <w:p w14:paraId="7D0F8820" w14:textId="77777777" w:rsidR="00FE3CCC" w:rsidRPr="00D525E3" w:rsidRDefault="00FE3CCC" w:rsidP="00D525E3">
            <w:r w:rsidRPr="00D525E3">
              <w:t>SA FR1-FR1 Handover, Intra-frequency, Unknown target cell</w:t>
            </w:r>
          </w:p>
        </w:tc>
      </w:tr>
      <w:tr w:rsidR="00FE3CCC" w:rsidRPr="00FE3CCC" w14:paraId="28ED02FE" w14:textId="77777777" w:rsidTr="00302C0C">
        <w:tc>
          <w:tcPr>
            <w:tcW w:w="2122" w:type="dxa"/>
            <w:hideMark/>
          </w:tcPr>
          <w:p w14:paraId="36D4CCF3" w14:textId="77777777" w:rsidR="00FE3CCC" w:rsidRPr="00D525E3" w:rsidRDefault="00FE3CCC" w:rsidP="00D525E3">
            <w:r w:rsidRPr="00D525E3">
              <w:t>RLM-1</w:t>
            </w:r>
          </w:p>
        </w:tc>
        <w:tc>
          <w:tcPr>
            <w:tcW w:w="7495" w:type="dxa"/>
            <w:hideMark/>
          </w:tcPr>
          <w:p w14:paraId="1CC767FC" w14:textId="77777777" w:rsidR="00FE3CCC" w:rsidRPr="00D525E3" w:rsidRDefault="00FE3CCC" w:rsidP="00D525E3">
            <w:r w:rsidRPr="00D525E3">
              <w:t>Radio Link Monitoring (SSB-based, FR1): DRX, Out-of-sync, 12 PRBs</w:t>
            </w:r>
          </w:p>
        </w:tc>
      </w:tr>
      <w:tr w:rsidR="00FE3CCC" w:rsidRPr="00FE3CCC" w14:paraId="717E2EEF" w14:textId="77777777" w:rsidTr="00302C0C">
        <w:tc>
          <w:tcPr>
            <w:tcW w:w="2122" w:type="dxa"/>
            <w:hideMark/>
          </w:tcPr>
          <w:p w14:paraId="279898F3" w14:textId="77777777" w:rsidR="00FE3CCC" w:rsidRPr="00D525E3" w:rsidRDefault="00FE3CCC" w:rsidP="00D525E3">
            <w:r w:rsidRPr="00D525E3">
              <w:lastRenderedPageBreak/>
              <w:t>RLM-2</w:t>
            </w:r>
          </w:p>
        </w:tc>
        <w:tc>
          <w:tcPr>
            <w:tcW w:w="7495" w:type="dxa"/>
            <w:hideMark/>
          </w:tcPr>
          <w:p w14:paraId="2430717B" w14:textId="77777777" w:rsidR="00FE3CCC" w:rsidRPr="00D525E3" w:rsidRDefault="00FE3CCC" w:rsidP="00D525E3">
            <w:r w:rsidRPr="00D525E3">
              <w:t>Radio Link Monitoring (SSB-based, FR1): DRX, In-sync, 12 PRBs</w:t>
            </w:r>
          </w:p>
        </w:tc>
      </w:tr>
      <w:tr w:rsidR="00FE3CCC" w:rsidRPr="00FE3CCC" w14:paraId="63651EA9" w14:textId="77777777" w:rsidTr="00302C0C">
        <w:tc>
          <w:tcPr>
            <w:tcW w:w="2122" w:type="dxa"/>
            <w:hideMark/>
          </w:tcPr>
          <w:p w14:paraId="10DB69F5" w14:textId="77777777" w:rsidR="00FE3CCC" w:rsidRPr="00D525E3" w:rsidRDefault="00FE3CCC" w:rsidP="00D525E3">
            <w:r w:rsidRPr="00D525E3">
              <w:t>RLM-3</w:t>
            </w:r>
          </w:p>
        </w:tc>
        <w:tc>
          <w:tcPr>
            <w:tcW w:w="7495" w:type="dxa"/>
            <w:hideMark/>
          </w:tcPr>
          <w:p w14:paraId="4C7C9B78" w14:textId="77777777" w:rsidR="00FE3CCC" w:rsidRPr="00D525E3" w:rsidRDefault="00FE3CCC" w:rsidP="00D525E3">
            <w:r w:rsidRPr="00D525E3">
              <w:t>Radio Link Monitoring (SSB-based, FR1): Non-DRX, Out-of-sync, 15 PRBs</w:t>
            </w:r>
          </w:p>
        </w:tc>
      </w:tr>
      <w:tr w:rsidR="00FE3CCC" w:rsidRPr="00FE3CCC" w14:paraId="09268A29" w14:textId="77777777" w:rsidTr="00302C0C">
        <w:tc>
          <w:tcPr>
            <w:tcW w:w="2122" w:type="dxa"/>
            <w:hideMark/>
          </w:tcPr>
          <w:p w14:paraId="395631F4" w14:textId="77777777" w:rsidR="00FE3CCC" w:rsidRPr="00D525E3" w:rsidRDefault="00FE3CCC" w:rsidP="00D525E3">
            <w:r w:rsidRPr="00D525E3">
              <w:t>RLM-4</w:t>
            </w:r>
          </w:p>
        </w:tc>
        <w:tc>
          <w:tcPr>
            <w:tcW w:w="7495" w:type="dxa"/>
            <w:hideMark/>
          </w:tcPr>
          <w:p w14:paraId="3AC74172" w14:textId="77777777" w:rsidR="00FE3CCC" w:rsidRPr="00D525E3" w:rsidRDefault="00FE3CCC" w:rsidP="00D525E3">
            <w:r w:rsidRPr="00D525E3">
              <w:t>Radio Link Monitoring (SSB-based, FR1): Non-DRX, In-sync, 15 PRB</w:t>
            </w:r>
          </w:p>
        </w:tc>
      </w:tr>
      <w:tr w:rsidR="00FE3CCC" w:rsidRPr="00FE3CCC" w14:paraId="6ABAFB31" w14:textId="77777777" w:rsidTr="00302C0C">
        <w:tc>
          <w:tcPr>
            <w:tcW w:w="2122" w:type="dxa"/>
            <w:hideMark/>
          </w:tcPr>
          <w:p w14:paraId="268EEEE8" w14:textId="77777777" w:rsidR="00FE3CCC" w:rsidRPr="00D525E3" w:rsidRDefault="00FE3CCC" w:rsidP="00D525E3">
            <w:r w:rsidRPr="00D525E3">
              <w:t>BFD-1</w:t>
            </w:r>
          </w:p>
        </w:tc>
        <w:tc>
          <w:tcPr>
            <w:tcW w:w="7495" w:type="dxa"/>
            <w:hideMark/>
          </w:tcPr>
          <w:p w14:paraId="547013F8" w14:textId="77777777" w:rsidR="00FE3CCC" w:rsidRPr="00D525E3" w:rsidRDefault="00FE3CCC" w:rsidP="00D525E3">
            <w:r w:rsidRPr="00D525E3">
              <w:t>BFD and link recovery (SSB-based, FR1): DRX, 15 PRB</w:t>
            </w:r>
          </w:p>
        </w:tc>
      </w:tr>
      <w:tr w:rsidR="00FE3CCC" w:rsidRPr="00FE3CCC" w14:paraId="160B8645" w14:textId="77777777" w:rsidTr="00302C0C">
        <w:tc>
          <w:tcPr>
            <w:tcW w:w="2122" w:type="dxa"/>
            <w:hideMark/>
          </w:tcPr>
          <w:p w14:paraId="2243686F" w14:textId="77777777" w:rsidR="00FE3CCC" w:rsidRPr="00D525E3" w:rsidRDefault="00FE3CCC" w:rsidP="00D525E3">
            <w:r w:rsidRPr="00D525E3">
              <w:t>MR-1</w:t>
            </w:r>
          </w:p>
        </w:tc>
        <w:tc>
          <w:tcPr>
            <w:tcW w:w="7495" w:type="dxa"/>
            <w:hideMark/>
          </w:tcPr>
          <w:p w14:paraId="0F0A37CE" w14:textId="77777777" w:rsidR="00FE3CCC" w:rsidRPr="00D525E3" w:rsidRDefault="00FE3CCC" w:rsidP="00D525E3">
            <w:r w:rsidRPr="00D525E3">
              <w:t>SA event triggered reporting, SSB based, Time period for time index detection: Intra-frequency, non-DRX, no gaps, 15 PRBs</w:t>
            </w:r>
          </w:p>
        </w:tc>
      </w:tr>
      <w:tr w:rsidR="00FE3CCC" w:rsidRPr="00FE3CCC" w14:paraId="4DB80B1A" w14:textId="77777777" w:rsidTr="00302C0C">
        <w:trPr>
          <w:trHeight w:val="392"/>
        </w:trPr>
        <w:tc>
          <w:tcPr>
            <w:tcW w:w="2122" w:type="dxa"/>
            <w:hideMark/>
          </w:tcPr>
          <w:p w14:paraId="532AD3E4" w14:textId="77777777" w:rsidR="00FE3CCC" w:rsidRPr="00D525E3" w:rsidRDefault="00FE3CCC" w:rsidP="00D525E3">
            <w:r w:rsidRPr="00D525E3">
              <w:t>MR-2</w:t>
            </w:r>
          </w:p>
        </w:tc>
        <w:tc>
          <w:tcPr>
            <w:tcW w:w="7495" w:type="dxa"/>
            <w:hideMark/>
          </w:tcPr>
          <w:p w14:paraId="2D0FAEF7" w14:textId="77777777" w:rsidR="00FE3CCC" w:rsidRPr="00D525E3" w:rsidRDefault="00FE3CCC" w:rsidP="00D525E3">
            <w:r w:rsidRPr="00D525E3">
              <w:t>SA event triggered reporting, SSB based, Time period for time index detection: Inter-frequency, DRX, gaps, 15 PRBs</w:t>
            </w:r>
          </w:p>
        </w:tc>
      </w:tr>
    </w:tbl>
    <w:p w14:paraId="288EC854" w14:textId="640A8762" w:rsidR="00FE3CCC" w:rsidRPr="00D525E3" w:rsidRDefault="00302C0C" w:rsidP="00D525E3">
      <w:r w:rsidRPr="00D525E3">
        <w:t>Observe that some of the test cases above are “duplicated” to cover for operations within 12 and 15 PRBs.  But in RAN 4 WF agreed on R4#112bis, the following compromise agreement was reached:</w:t>
      </w:r>
    </w:p>
    <w:tbl>
      <w:tblPr>
        <w:tblStyle w:val="TableGrid"/>
        <w:tblW w:w="0" w:type="auto"/>
        <w:tblLook w:val="04A0" w:firstRow="1" w:lastRow="0" w:firstColumn="1" w:lastColumn="0" w:noHBand="0" w:noVBand="1"/>
      </w:tblPr>
      <w:tblGrid>
        <w:gridCol w:w="9617"/>
      </w:tblGrid>
      <w:tr w:rsidR="00302C0C" w14:paraId="4A226C24" w14:textId="77777777" w:rsidTr="00302C0C">
        <w:tc>
          <w:tcPr>
            <w:tcW w:w="9617" w:type="dxa"/>
          </w:tcPr>
          <w:p w14:paraId="2B676B88" w14:textId="77777777" w:rsidR="00302C0C" w:rsidRDefault="00302C0C" w:rsidP="00302C0C">
            <w:pPr>
              <w:pStyle w:val="Heading4"/>
            </w:pPr>
            <w:r>
              <w:t>Issue 1-1-1-1: Channel bandwidth assumption</w:t>
            </w:r>
          </w:p>
          <w:p w14:paraId="3994F8C1" w14:textId="77777777" w:rsidR="00302C0C" w:rsidRPr="004473DC" w:rsidRDefault="00302C0C" w:rsidP="00302C0C">
            <w:pPr>
              <w:spacing w:after="120"/>
              <w:rPr>
                <w:color w:val="0070C0"/>
              </w:rPr>
            </w:pPr>
            <w:r w:rsidRPr="004473DC">
              <w:rPr>
                <w:rFonts w:hint="eastAsia"/>
                <w:color w:val="0070C0"/>
              </w:rPr>
              <w:t>A</w:t>
            </w:r>
            <w:r w:rsidRPr="004473DC">
              <w:rPr>
                <w:color w:val="0070C0"/>
              </w:rPr>
              <w:t>greements</w:t>
            </w:r>
          </w:p>
          <w:p w14:paraId="2317CE5F" w14:textId="77777777" w:rsidR="00302C0C" w:rsidRPr="000D1810" w:rsidRDefault="00302C0C" w:rsidP="00302C0C">
            <w:pPr>
              <w:pStyle w:val="ListParagraph"/>
              <w:widowControl w:val="0"/>
              <w:numPr>
                <w:ilvl w:val="0"/>
                <w:numId w:val="29"/>
              </w:numPr>
              <w:spacing w:after="120" w:line="259" w:lineRule="auto"/>
              <w:ind w:left="936"/>
              <w:contextualSpacing w:val="0"/>
              <w:jc w:val="both"/>
              <w:rPr>
                <w:b/>
                <w:bCs/>
                <w:i/>
                <w:iCs/>
              </w:rPr>
            </w:pPr>
            <w:r w:rsidRPr="004473DC">
              <w:rPr>
                <w:rFonts w:eastAsiaTheme="minorEastAsia"/>
                <w:b/>
                <w:bCs/>
                <w:i/>
                <w:iCs/>
                <w:highlight w:val="green"/>
                <w:lang w:eastAsia="zh-CN"/>
              </w:rPr>
              <w:t>3MHz with 15 PRBs</w:t>
            </w:r>
          </w:p>
          <w:p w14:paraId="6354C636" w14:textId="77777777" w:rsidR="00302C0C" w:rsidRPr="000D1810" w:rsidRDefault="00302C0C" w:rsidP="00302C0C">
            <w:pPr>
              <w:pStyle w:val="ListParagraph"/>
              <w:widowControl w:val="0"/>
              <w:spacing w:after="120" w:line="259" w:lineRule="auto"/>
              <w:ind w:leftChars="368" w:left="736"/>
              <w:jc w:val="both"/>
              <w:rPr>
                <w:rFonts w:eastAsia="SimSun"/>
                <w:color w:val="0070C0"/>
              </w:rPr>
            </w:pPr>
          </w:p>
          <w:p w14:paraId="4644EC32" w14:textId="77777777" w:rsidR="00302C0C" w:rsidRDefault="00302C0C" w:rsidP="00302C0C">
            <w:pPr>
              <w:pStyle w:val="Heading4"/>
            </w:pPr>
            <w:r>
              <w:t>Issue 1-1-1-2: SSB/PBCH assumption</w:t>
            </w:r>
          </w:p>
          <w:p w14:paraId="5D260730" w14:textId="77777777" w:rsidR="00302C0C" w:rsidRPr="004473DC" w:rsidRDefault="00302C0C" w:rsidP="00302C0C">
            <w:pPr>
              <w:spacing w:after="120"/>
              <w:rPr>
                <w:color w:val="0070C0"/>
              </w:rPr>
            </w:pPr>
            <w:r w:rsidRPr="004473DC">
              <w:rPr>
                <w:rFonts w:hint="eastAsia"/>
                <w:color w:val="0070C0"/>
              </w:rPr>
              <w:t>A</w:t>
            </w:r>
            <w:r w:rsidRPr="004473DC">
              <w:rPr>
                <w:color w:val="0070C0"/>
              </w:rPr>
              <w:t>greements</w:t>
            </w:r>
          </w:p>
          <w:p w14:paraId="16EEB227" w14:textId="77777777" w:rsidR="00302C0C" w:rsidRPr="00054981" w:rsidRDefault="00302C0C" w:rsidP="00302C0C">
            <w:pPr>
              <w:pStyle w:val="ListParagraph"/>
              <w:widowControl w:val="0"/>
              <w:numPr>
                <w:ilvl w:val="0"/>
                <w:numId w:val="29"/>
              </w:numPr>
              <w:spacing w:after="120" w:line="259" w:lineRule="auto"/>
              <w:ind w:left="936"/>
              <w:contextualSpacing w:val="0"/>
              <w:jc w:val="both"/>
              <w:rPr>
                <w:b/>
                <w:bCs/>
                <w:i/>
                <w:iCs/>
                <w:highlight w:val="green"/>
              </w:rPr>
            </w:pPr>
            <w:r w:rsidRPr="00054981">
              <w:rPr>
                <w:rFonts w:eastAsiaTheme="minorEastAsia"/>
                <w:b/>
                <w:bCs/>
                <w:i/>
                <w:iCs/>
                <w:highlight w:val="green"/>
                <w:lang w:eastAsia="zh-CN"/>
              </w:rPr>
              <w:t xml:space="preserve">12 PRBs </w:t>
            </w:r>
          </w:p>
          <w:p w14:paraId="5E35435B" w14:textId="77777777" w:rsidR="00302C0C" w:rsidRDefault="00302C0C" w:rsidP="00302C0C">
            <w:pPr>
              <w:pStyle w:val="Heading4"/>
            </w:pPr>
            <w:r>
              <w:t>Issue 1-1-1-3: PDCCH transmission bandwidth assumption</w:t>
            </w:r>
          </w:p>
          <w:p w14:paraId="3C65D4F2" w14:textId="77777777" w:rsidR="00302C0C" w:rsidRPr="004473DC" w:rsidRDefault="00302C0C" w:rsidP="00302C0C">
            <w:pPr>
              <w:spacing w:after="120"/>
              <w:rPr>
                <w:color w:val="0070C0"/>
              </w:rPr>
            </w:pPr>
            <w:r w:rsidRPr="004473DC">
              <w:rPr>
                <w:rFonts w:hint="eastAsia"/>
                <w:color w:val="0070C0"/>
              </w:rPr>
              <w:t>A</w:t>
            </w:r>
            <w:r w:rsidRPr="004473DC">
              <w:rPr>
                <w:color w:val="0070C0"/>
              </w:rPr>
              <w:t>greements</w:t>
            </w:r>
          </w:p>
          <w:p w14:paraId="29A72E6B" w14:textId="77777777" w:rsidR="00302C0C" w:rsidRPr="00A20922" w:rsidRDefault="00302C0C" w:rsidP="00302C0C">
            <w:pPr>
              <w:pStyle w:val="ListParagraph"/>
              <w:widowControl w:val="0"/>
              <w:numPr>
                <w:ilvl w:val="0"/>
                <w:numId w:val="29"/>
              </w:numPr>
              <w:spacing w:after="120" w:line="259" w:lineRule="auto"/>
              <w:ind w:left="936"/>
              <w:contextualSpacing w:val="0"/>
              <w:jc w:val="both"/>
              <w:rPr>
                <w:b/>
                <w:bCs/>
                <w:i/>
                <w:iCs/>
                <w:highlight w:val="green"/>
              </w:rPr>
            </w:pPr>
            <w:r w:rsidRPr="00A20922">
              <w:rPr>
                <w:rFonts w:eastAsiaTheme="minorEastAsia"/>
                <w:b/>
                <w:bCs/>
                <w:i/>
                <w:iCs/>
                <w:highlight w:val="green"/>
                <w:lang w:eastAsia="zh-CN"/>
              </w:rPr>
              <w:t xml:space="preserve">15 PRBs </w:t>
            </w:r>
          </w:p>
          <w:p w14:paraId="6B58D64E" w14:textId="77777777" w:rsidR="00302C0C" w:rsidRDefault="00302C0C" w:rsidP="00302C0C">
            <w:pPr>
              <w:spacing w:before="100" w:beforeAutospacing="1" w:after="100" w:afterAutospacing="1"/>
              <w:rPr>
                <w:rFonts w:eastAsia="Times New Roman" w:cs="Times New Roman"/>
                <w:sz w:val="24"/>
                <w:szCs w:val="24"/>
                <w:lang w:val="en-US" w:eastAsia="zh-CN"/>
              </w:rPr>
            </w:pPr>
          </w:p>
        </w:tc>
      </w:tr>
    </w:tbl>
    <w:p w14:paraId="2570B2B0" w14:textId="5C4F3B15" w:rsidR="00302C0C" w:rsidRDefault="00D525E3" w:rsidP="00302C0C">
      <w:pPr>
        <w:spacing w:before="100" w:beforeAutospacing="1" w:after="100" w:afterAutospacing="1" w:line="240" w:lineRule="auto"/>
        <w:rPr>
          <w:rFonts w:eastAsia="Times New Roman" w:cs="Times New Roman"/>
          <w:sz w:val="24"/>
          <w:szCs w:val="24"/>
          <w:lang w:val="en-US" w:eastAsia="zh-CN"/>
        </w:rPr>
      </w:pPr>
      <w:proofErr w:type="gramStart"/>
      <w:r>
        <w:t>Th</w:t>
      </w:r>
      <w:r w:rsidR="00302C0C" w:rsidRPr="00D525E3">
        <w:t>erefore</w:t>
      </w:r>
      <w:proofErr w:type="gramEnd"/>
      <w:r w:rsidR="00302C0C" w:rsidRPr="00D525E3">
        <w:t xml:space="preserve"> it is our view that the test cases shall be limited to 15 PRB cases. Besides, there are no NTN requirements related to BFD. Therefore, we propose:</w:t>
      </w:r>
    </w:p>
    <w:p w14:paraId="74946E01" w14:textId="77777777" w:rsidR="00302C0C" w:rsidRDefault="00302C0C" w:rsidP="00302C0C">
      <w:pPr>
        <w:pStyle w:val="RAN4proposal"/>
        <w:rPr>
          <w:lang w:val="en-US" w:eastAsia="zh-CN"/>
        </w:rPr>
      </w:pPr>
      <w:bookmarkStart w:id="5" w:name="_Toc194070450"/>
      <w:r>
        <w:rPr>
          <w:lang w:val="en-US" w:eastAsia="zh-CN"/>
        </w:rPr>
        <w:t>Add test cases for Cell Reselection, Handover, Soft/Hard Satellite switching, Radio Link Monitoring for less than 5 MHz over NTN.</w:t>
      </w:r>
      <w:bookmarkEnd w:id="5"/>
      <w:r>
        <w:rPr>
          <w:lang w:val="en-US" w:eastAsia="zh-CN"/>
        </w:rPr>
        <w:t xml:space="preserve"> </w:t>
      </w:r>
    </w:p>
    <w:p w14:paraId="5BABC11A" w14:textId="687F39FF" w:rsidR="0060543D" w:rsidRPr="008F786B" w:rsidRDefault="00420CDF" w:rsidP="006B2FAF">
      <w:pPr>
        <w:pStyle w:val="RAN4proposal"/>
      </w:pPr>
      <w:bookmarkStart w:id="6" w:name="_Toc194070451"/>
      <w:r w:rsidRPr="00462805">
        <w:rPr>
          <w:lang w:val="en-US" w:eastAsia="zh-CN"/>
        </w:rPr>
        <w:t xml:space="preserve">Add a description on </w:t>
      </w:r>
      <w:proofErr w:type="gramStart"/>
      <w:r w:rsidRPr="00462805">
        <w:rPr>
          <w:lang w:val="en-US" w:eastAsia="zh-CN"/>
        </w:rPr>
        <w:t xml:space="preserve">Annex  </w:t>
      </w:r>
      <w:r w:rsidRPr="00420CDF">
        <w:rPr>
          <w:lang w:eastAsia="zh-CN"/>
        </w:rPr>
        <w:t>A.</w:t>
      </w:r>
      <w:proofErr w:type="gramEnd"/>
      <w:r w:rsidRPr="00420CDF">
        <w:rPr>
          <w:lang w:eastAsia="zh-CN"/>
        </w:rPr>
        <w:t>3.36.2</w:t>
      </w:r>
      <w:r w:rsidRPr="00420CDF">
        <w:rPr>
          <w:lang w:eastAsia="zh-CN"/>
        </w:rPr>
        <w:tab/>
      </w:r>
      <w:r w:rsidRPr="00462805">
        <w:rPr>
          <w:lang w:val="en-US" w:eastAsia="zh-CN"/>
        </w:rPr>
        <w:t>of TS 38.133 about the applicability of such test cases.</w:t>
      </w:r>
      <w:bookmarkEnd w:id="6"/>
      <w:r w:rsidRPr="00462805">
        <w:rPr>
          <w:lang w:val="en-US" w:eastAsia="zh-CN"/>
        </w:rPr>
        <w:t xml:space="preserve"> </w:t>
      </w:r>
    </w:p>
    <w:p w14:paraId="671BF14D" w14:textId="77777777" w:rsidR="0060543D" w:rsidRPr="008F786B" w:rsidRDefault="0060543D" w:rsidP="0060543D"/>
    <w:p w14:paraId="3605056B" w14:textId="77777777" w:rsidR="00893D2E" w:rsidRPr="008F786B" w:rsidRDefault="00893D2E">
      <w:pPr>
        <w:rPr>
          <w:rFonts w:ascii="Arial" w:eastAsia="SimSun" w:hAnsi="Arial" w:cs="Times New Roman"/>
          <w:sz w:val="36"/>
          <w:szCs w:val="20"/>
        </w:rPr>
      </w:pPr>
      <w:bookmarkStart w:id="7" w:name="_Toc116995848"/>
      <w:r w:rsidRPr="008F786B">
        <w:br w:type="page"/>
      </w:r>
    </w:p>
    <w:p w14:paraId="79ADA9AB" w14:textId="77777777" w:rsidR="00CD7492" w:rsidRPr="008F786B" w:rsidRDefault="00CD7492" w:rsidP="00A37002">
      <w:pPr>
        <w:pStyle w:val="RAN4H1"/>
      </w:pPr>
      <w:r w:rsidRPr="008F786B">
        <w:lastRenderedPageBreak/>
        <w:t>Conclusion</w:t>
      </w:r>
      <w:bookmarkEnd w:id="7"/>
    </w:p>
    <w:p w14:paraId="5807F2FC" w14:textId="1C8813CD" w:rsidR="00381F95" w:rsidRPr="008F786B" w:rsidRDefault="00462805" w:rsidP="00936159">
      <w:r>
        <w:t>In this paper, we provided our views on the performance test cases of Less than 5 MHz operation in NTN by means of the following proposals:</w:t>
      </w:r>
    </w:p>
    <w:p w14:paraId="1FBDB9E2" w14:textId="77777777" w:rsidR="00462805"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0450" w:history="1">
        <w:r w:rsidR="00462805" w:rsidRPr="00D478FD">
          <w:rPr>
            <w:rStyle w:val="Hyperlink"/>
            <w:noProof/>
            <w:lang w:val="en-US" w:eastAsia="zh-CN"/>
          </w:rPr>
          <w:t>Proposal 1: Add test cases for Cell Reselection, Handover, Soft/Hard Satellite switching, Radio Link Monitoring for less than 5 MHz over NTN.</w:t>
        </w:r>
      </w:hyperlink>
    </w:p>
    <w:p w14:paraId="4C90CD52" w14:textId="77777777" w:rsidR="00462805" w:rsidRDefault="00462805">
      <w:pPr>
        <w:pStyle w:val="TOC5"/>
        <w:tabs>
          <w:tab w:val="left" w:pos="4446"/>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0451" w:history="1">
        <w:r w:rsidRPr="00D478FD">
          <w:rPr>
            <w:rStyle w:val="Hyperlink"/>
            <w:noProof/>
            <w:lang w:val="en-US" w:eastAsia="zh-CN"/>
          </w:rPr>
          <w:t xml:space="preserve">Proposal 2: Add a description on Annex  </w:t>
        </w:r>
        <w:r w:rsidRPr="00D478FD">
          <w:rPr>
            <w:rStyle w:val="Hyperlink"/>
            <w:noProof/>
            <w:lang w:eastAsia="zh-CN"/>
          </w:rPr>
          <w:t>A.3.36.2</w:t>
        </w:r>
        <w:r>
          <w:rPr>
            <w:rFonts w:asciiTheme="minorHAnsi" w:eastAsiaTheme="minorEastAsia" w:hAnsiTheme="minorHAnsi"/>
            <w:b w:val="0"/>
            <w:noProof/>
            <w:kern w:val="2"/>
            <w:sz w:val="24"/>
            <w:szCs w:val="24"/>
            <w:lang w:val="en-US" w:eastAsia="zh-CN"/>
            <w14:ligatures w14:val="standardContextual"/>
          </w:rPr>
          <w:tab/>
        </w:r>
        <w:r w:rsidRPr="00D478FD">
          <w:rPr>
            <w:rStyle w:val="Hyperlink"/>
            <w:noProof/>
            <w:lang w:val="en-US" w:eastAsia="zh-CN"/>
          </w:rPr>
          <w:t>of TS 38.133 about the applicability of such test cases.</w:t>
        </w:r>
      </w:hyperlink>
    </w:p>
    <w:p w14:paraId="479010FA" w14:textId="6A21A1CC" w:rsidR="00847264" w:rsidRPr="008F786B" w:rsidRDefault="00A4355E" w:rsidP="008C39F7">
      <w:r w:rsidRPr="008F786B">
        <w:fldChar w:fldCharType="end"/>
      </w:r>
      <w:bookmarkStart w:id="8" w:name="_Toc116995849"/>
    </w:p>
    <w:p w14:paraId="7CE81CD6" w14:textId="77777777" w:rsidR="003B659E" w:rsidRPr="008F786B" w:rsidRDefault="003B659E" w:rsidP="0060543D">
      <w:pPr>
        <w:pStyle w:val="RAN4H1"/>
        <w:numPr>
          <w:ilvl w:val="0"/>
          <w:numId w:val="0"/>
        </w:numPr>
        <w:ind w:left="360" w:hanging="360"/>
      </w:pPr>
      <w:r w:rsidRPr="008F786B">
        <w:t>References</w:t>
      </w:r>
      <w:bookmarkEnd w:id="8"/>
    </w:p>
    <w:p w14:paraId="6AFB8CBE" w14:textId="77777777" w:rsidR="00462805" w:rsidRDefault="00462805" w:rsidP="00462805">
      <w:pPr>
        <w:pStyle w:val="ListParagraph"/>
        <w:numPr>
          <w:ilvl w:val="0"/>
          <w:numId w:val="21"/>
        </w:numPr>
        <w:rPr>
          <w:lang w:val="en-US"/>
        </w:rPr>
      </w:pPr>
      <w:bookmarkStart w:id="9" w:name="_Ref114500673"/>
      <w:bookmarkStart w:id="10" w:name="_Ref173963276"/>
      <w:bookmarkStart w:id="11" w:name="_Ref173928979"/>
      <w:bookmarkEnd w:id="9"/>
      <w:r w:rsidRPr="0078713A">
        <w:rPr>
          <w:rFonts w:hint="eastAsia"/>
          <w:lang w:val="en-US"/>
        </w:rPr>
        <w:t>RP-240857</w:t>
      </w:r>
      <w:r>
        <w:rPr>
          <w:lang w:val="en-US"/>
        </w:rPr>
        <w:t>,</w:t>
      </w:r>
      <w:r w:rsidRPr="0078713A">
        <w:rPr>
          <w:i/>
          <w:iCs/>
          <w:lang w:val="en-US"/>
        </w:rPr>
        <w:t xml:space="preserve"> “New WID: Enhanced requirements and test methodology for NR and IoT NTN”</w:t>
      </w:r>
      <w:r>
        <w:rPr>
          <w:lang w:val="en-US"/>
        </w:rPr>
        <w:t xml:space="preserve">, RAN4 Chair (Huawei), RAN #103, </w:t>
      </w:r>
      <w:r w:rsidRPr="0078713A">
        <w:rPr>
          <w:rFonts w:hint="eastAsia"/>
          <w:lang w:val="en-US"/>
        </w:rPr>
        <w:t>Maastricht, Netherlands, March 18-21, 2024</w:t>
      </w:r>
      <w:bookmarkEnd w:id="10"/>
      <w:bookmarkEnd w:id="11"/>
    </w:p>
    <w:p w14:paraId="4F533B60" w14:textId="77777777" w:rsidR="00462805" w:rsidRDefault="00462805" w:rsidP="00462805">
      <w:pPr>
        <w:pStyle w:val="ListParagraph"/>
        <w:numPr>
          <w:ilvl w:val="0"/>
          <w:numId w:val="21"/>
        </w:numPr>
        <w:rPr>
          <w:lang w:val="en-US"/>
        </w:rPr>
      </w:pPr>
      <w:bookmarkStart w:id="12" w:name="_Ref178852530"/>
      <w:r w:rsidRPr="00891FA3">
        <w:t>RP-241985</w:t>
      </w:r>
      <w:r w:rsidRPr="009B30DC">
        <w:t xml:space="preserve">, </w:t>
      </w:r>
      <w:r w:rsidRPr="009B30DC">
        <w:rPr>
          <w:i/>
          <w:iCs/>
        </w:rPr>
        <w:t>"</w:t>
      </w:r>
      <w:r w:rsidRPr="00891FA3">
        <w:rPr>
          <w:i/>
          <w:iCs/>
          <w:lang w:val="en-US"/>
        </w:rPr>
        <w:t xml:space="preserve"> Revised WID on Enhanced requirements and conductive test methodology for NR NTN and IoT NTN</w:t>
      </w:r>
      <w:r w:rsidRPr="0078713A">
        <w:rPr>
          <w:i/>
          <w:iCs/>
          <w:lang w:val="en-US"/>
        </w:rPr>
        <w:t>”</w:t>
      </w:r>
      <w:r>
        <w:rPr>
          <w:lang w:val="en-US"/>
        </w:rPr>
        <w:t>, Samsung, RAN #105</w:t>
      </w:r>
    </w:p>
    <w:bookmarkEnd w:id="12"/>
    <w:p w14:paraId="7B42DE37" w14:textId="77777777" w:rsidR="00E82B94" w:rsidRPr="008F786B" w:rsidRDefault="00E82B94" w:rsidP="00462805">
      <w:pPr>
        <w:pStyle w:val="ListParagraph"/>
        <w:ind w:right="-22"/>
      </w:pPr>
    </w:p>
    <w:p w14:paraId="01A51ED6"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5290" w14:textId="77777777" w:rsidR="00E67C26" w:rsidRDefault="00E67C26" w:rsidP="00001C9B">
      <w:pPr>
        <w:spacing w:after="0" w:line="240" w:lineRule="auto"/>
      </w:pPr>
      <w:r>
        <w:separator/>
      </w:r>
    </w:p>
  </w:endnote>
  <w:endnote w:type="continuationSeparator" w:id="0">
    <w:p w14:paraId="5167B0EA" w14:textId="77777777" w:rsidR="00E67C26" w:rsidRDefault="00E67C26" w:rsidP="00001C9B">
      <w:pPr>
        <w:spacing w:after="0" w:line="240" w:lineRule="auto"/>
      </w:pPr>
      <w:r>
        <w:continuationSeparator/>
      </w:r>
    </w:p>
  </w:endnote>
  <w:endnote w:type="continuationNotice" w:id="1">
    <w:p w14:paraId="740A1C81" w14:textId="77777777" w:rsidR="007C5350" w:rsidRDefault="007C53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5016A" w14:textId="77777777" w:rsidR="00E67C26" w:rsidRDefault="00E67C26" w:rsidP="00001C9B">
      <w:pPr>
        <w:spacing w:after="0" w:line="240" w:lineRule="auto"/>
      </w:pPr>
      <w:r>
        <w:separator/>
      </w:r>
    </w:p>
  </w:footnote>
  <w:footnote w:type="continuationSeparator" w:id="0">
    <w:p w14:paraId="4C6332A8" w14:textId="77777777" w:rsidR="00E67C26" w:rsidRDefault="00E67C26" w:rsidP="00001C9B">
      <w:pPr>
        <w:spacing w:after="0" w:line="240" w:lineRule="auto"/>
      </w:pPr>
      <w:r>
        <w:continuationSeparator/>
      </w:r>
    </w:p>
  </w:footnote>
  <w:footnote w:type="continuationNotice" w:id="1">
    <w:p w14:paraId="7D13AC44" w14:textId="77777777" w:rsidR="007C5350" w:rsidRDefault="007C53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755AE"/>
    <w:multiLevelType w:val="hybridMultilevel"/>
    <w:tmpl w:val="732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57761E"/>
    <w:multiLevelType w:val="hybridMultilevel"/>
    <w:tmpl w:val="7DE65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6F875D1"/>
    <w:multiLevelType w:val="hybridMultilevel"/>
    <w:tmpl w:val="462C5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8"/>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0"/>
  </w:num>
  <w:num w:numId="28" w16cid:durableId="2095668156">
    <w:abstractNumId w:val="4"/>
  </w:num>
  <w:num w:numId="29" w16cid:durableId="481697368">
    <w:abstractNumId w:val="13"/>
  </w:num>
  <w:num w:numId="30" w16cid:durableId="2023587530">
    <w:abstractNumId w:val="17"/>
  </w:num>
  <w:num w:numId="31" w16cid:durableId="1778331464">
    <w:abstractNumId w:val="2"/>
  </w:num>
  <w:num w:numId="32" w16cid:durableId="2017996163">
    <w:abstractNumId w:val="8"/>
  </w:num>
  <w:num w:numId="33" w16cid:durableId="7899353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67C26"/>
    <w:rsid w:val="00001C9B"/>
    <w:rsid w:val="000040DC"/>
    <w:rsid w:val="00011784"/>
    <w:rsid w:val="000151EF"/>
    <w:rsid w:val="000239F5"/>
    <w:rsid w:val="00061256"/>
    <w:rsid w:val="00072CCA"/>
    <w:rsid w:val="0007385A"/>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61913"/>
    <w:rsid w:val="001642FC"/>
    <w:rsid w:val="0016496B"/>
    <w:rsid w:val="001743E2"/>
    <w:rsid w:val="001745F8"/>
    <w:rsid w:val="001838CF"/>
    <w:rsid w:val="001868EE"/>
    <w:rsid w:val="001A3BA4"/>
    <w:rsid w:val="001A6D1F"/>
    <w:rsid w:val="001B1EA8"/>
    <w:rsid w:val="001E30F6"/>
    <w:rsid w:val="001F7EA2"/>
    <w:rsid w:val="00216379"/>
    <w:rsid w:val="00217EE5"/>
    <w:rsid w:val="0023559D"/>
    <w:rsid w:val="00235F5C"/>
    <w:rsid w:val="0024235F"/>
    <w:rsid w:val="002433E2"/>
    <w:rsid w:val="00257FA3"/>
    <w:rsid w:val="00277B56"/>
    <w:rsid w:val="00280793"/>
    <w:rsid w:val="00282A74"/>
    <w:rsid w:val="002849D4"/>
    <w:rsid w:val="00295E70"/>
    <w:rsid w:val="002A19F5"/>
    <w:rsid w:val="002B4922"/>
    <w:rsid w:val="002B69F3"/>
    <w:rsid w:val="002C22C3"/>
    <w:rsid w:val="002C2D19"/>
    <w:rsid w:val="002D10FA"/>
    <w:rsid w:val="002D4C55"/>
    <w:rsid w:val="002E6DED"/>
    <w:rsid w:val="00300956"/>
    <w:rsid w:val="00302C0C"/>
    <w:rsid w:val="00307EE8"/>
    <w:rsid w:val="00317187"/>
    <w:rsid w:val="0032499A"/>
    <w:rsid w:val="003341F7"/>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15E87"/>
    <w:rsid w:val="00420CDF"/>
    <w:rsid w:val="00426B9A"/>
    <w:rsid w:val="00436A0F"/>
    <w:rsid w:val="00437150"/>
    <w:rsid w:val="0043750A"/>
    <w:rsid w:val="00447577"/>
    <w:rsid w:val="00462805"/>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465BF"/>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02FA"/>
    <w:rsid w:val="00751515"/>
    <w:rsid w:val="007626B7"/>
    <w:rsid w:val="00770E45"/>
    <w:rsid w:val="0078212B"/>
    <w:rsid w:val="00784DF6"/>
    <w:rsid w:val="00785232"/>
    <w:rsid w:val="007A2588"/>
    <w:rsid w:val="007B186C"/>
    <w:rsid w:val="007C1696"/>
    <w:rsid w:val="007C3ED0"/>
    <w:rsid w:val="007C48C4"/>
    <w:rsid w:val="007C5350"/>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41CE"/>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140A1"/>
    <w:rsid w:val="00927740"/>
    <w:rsid w:val="00936159"/>
    <w:rsid w:val="00977E1D"/>
    <w:rsid w:val="00996291"/>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06C0"/>
    <w:rsid w:val="00AC163B"/>
    <w:rsid w:val="00AC5CA7"/>
    <w:rsid w:val="00AC6058"/>
    <w:rsid w:val="00AE2BA5"/>
    <w:rsid w:val="00AE56B1"/>
    <w:rsid w:val="00AE6D09"/>
    <w:rsid w:val="00AF7A7C"/>
    <w:rsid w:val="00B02070"/>
    <w:rsid w:val="00B26A8A"/>
    <w:rsid w:val="00B408B6"/>
    <w:rsid w:val="00B542DA"/>
    <w:rsid w:val="00B66B7D"/>
    <w:rsid w:val="00B73862"/>
    <w:rsid w:val="00B73F43"/>
    <w:rsid w:val="00B75BBF"/>
    <w:rsid w:val="00B81CDC"/>
    <w:rsid w:val="00B97286"/>
    <w:rsid w:val="00BA308C"/>
    <w:rsid w:val="00BA6B66"/>
    <w:rsid w:val="00BA6E48"/>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C3EE2"/>
    <w:rsid w:val="00CD6C0E"/>
    <w:rsid w:val="00CD7492"/>
    <w:rsid w:val="00CE3A6B"/>
    <w:rsid w:val="00D00211"/>
    <w:rsid w:val="00D006D1"/>
    <w:rsid w:val="00D025AE"/>
    <w:rsid w:val="00D06309"/>
    <w:rsid w:val="00D351EA"/>
    <w:rsid w:val="00D40288"/>
    <w:rsid w:val="00D43403"/>
    <w:rsid w:val="00D50A6B"/>
    <w:rsid w:val="00D525E3"/>
    <w:rsid w:val="00D5270B"/>
    <w:rsid w:val="00D550FB"/>
    <w:rsid w:val="00D62E71"/>
    <w:rsid w:val="00D6430D"/>
    <w:rsid w:val="00D66188"/>
    <w:rsid w:val="00D731F6"/>
    <w:rsid w:val="00D740CA"/>
    <w:rsid w:val="00D816F8"/>
    <w:rsid w:val="00D85728"/>
    <w:rsid w:val="00D95481"/>
    <w:rsid w:val="00D96E40"/>
    <w:rsid w:val="00DA6198"/>
    <w:rsid w:val="00DA6B12"/>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67C26"/>
    <w:rsid w:val="00E7398E"/>
    <w:rsid w:val="00E82B94"/>
    <w:rsid w:val="00E87217"/>
    <w:rsid w:val="00EA2311"/>
    <w:rsid w:val="00EC7BC3"/>
    <w:rsid w:val="00ED7600"/>
    <w:rsid w:val="00EE00C3"/>
    <w:rsid w:val="00EF6073"/>
    <w:rsid w:val="00EF698B"/>
    <w:rsid w:val="00F1362C"/>
    <w:rsid w:val="00F414F1"/>
    <w:rsid w:val="00F508B8"/>
    <w:rsid w:val="00F72CB1"/>
    <w:rsid w:val="00F8215E"/>
    <w:rsid w:val="00F824F5"/>
    <w:rsid w:val="00F90FAB"/>
    <w:rsid w:val="00F9374D"/>
    <w:rsid w:val="00FB6924"/>
    <w:rsid w:val="00FC29B9"/>
    <w:rsid w:val="00FC2DFC"/>
    <w:rsid w:val="00FC6FD3"/>
    <w:rsid w:val="00FE305C"/>
    <w:rsid w:val="00FE3CC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F98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E67C2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E67C26"/>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67C26"/>
    <w:pPr>
      <w:ind w:left="283" w:hanging="283"/>
      <w:contextualSpacing/>
    </w:pPr>
  </w:style>
  <w:style w:type="paragraph" w:styleId="NormalWeb">
    <w:name w:val="Normal (Web)"/>
    <w:basedOn w:val="Normal"/>
    <w:uiPriority w:val="99"/>
    <w:semiHidden/>
    <w:unhideWhenUsed/>
    <w:rsid w:val="00FE3CCC"/>
    <w:pPr>
      <w:spacing w:before="100" w:beforeAutospacing="1" w:after="100" w:afterAutospacing="1" w:line="240" w:lineRule="auto"/>
    </w:pPr>
    <w:rPr>
      <w:rFonts w:eastAsia="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267550">
      <w:bodyDiv w:val="1"/>
      <w:marLeft w:val="0"/>
      <w:marRight w:val="0"/>
      <w:marTop w:val="0"/>
      <w:marBottom w:val="0"/>
      <w:divBdr>
        <w:top w:val="none" w:sz="0" w:space="0" w:color="auto"/>
        <w:left w:val="none" w:sz="0" w:space="0" w:color="auto"/>
        <w:bottom w:val="none" w:sz="0" w:space="0" w:color="auto"/>
        <w:right w:val="none" w:sz="0" w:space="0" w:color="auto"/>
      </w:divBdr>
    </w:div>
    <w:div w:id="559562379">
      <w:bodyDiv w:val="1"/>
      <w:marLeft w:val="0"/>
      <w:marRight w:val="0"/>
      <w:marTop w:val="0"/>
      <w:marBottom w:val="0"/>
      <w:divBdr>
        <w:top w:val="none" w:sz="0" w:space="0" w:color="auto"/>
        <w:left w:val="none" w:sz="0" w:space="0" w:color="auto"/>
        <w:bottom w:val="none" w:sz="0" w:space="0" w:color="auto"/>
        <w:right w:val="none" w:sz="0" w:space="0" w:color="auto"/>
      </w:divBdr>
    </w:div>
    <w:div w:id="708378923">
      <w:bodyDiv w:val="1"/>
      <w:marLeft w:val="0"/>
      <w:marRight w:val="0"/>
      <w:marTop w:val="0"/>
      <w:marBottom w:val="0"/>
      <w:divBdr>
        <w:top w:val="none" w:sz="0" w:space="0" w:color="auto"/>
        <w:left w:val="none" w:sz="0" w:space="0" w:color="auto"/>
        <w:bottom w:val="none" w:sz="0" w:space="0" w:color="auto"/>
        <w:right w:val="none" w:sz="0" w:space="0" w:color="auto"/>
      </w:divBdr>
    </w:div>
    <w:div w:id="799031554">
      <w:bodyDiv w:val="1"/>
      <w:marLeft w:val="0"/>
      <w:marRight w:val="0"/>
      <w:marTop w:val="0"/>
      <w:marBottom w:val="0"/>
      <w:divBdr>
        <w:top w:val="none" w:sz="0" w:space="0" w:color="auto"/>
        <w:left w:val="none" w:sz="0" w:space="0" w:color="auto"/>
        <w:bottom w:val="none" w:sz="0" w:space="0" w:color="auto"/>
        <w:right w:val="none" w:sz="0" w:space="0" w:color="auto"/>
      </w:divBdr>
    </w:div>
    <w:div w:id="839736788">
      <w:bodyDiv w:val="1"/>
      <w:marLeft w:val="0"/>
      <w:marRight w:val="0"/>
      <w:marTop w:val="0"/>
      <w:marBottom w:val="0"/>
      <w:divBdr>
        <w:top w:val="none" w:sz="0" w:space="0" w:color="auto"/>
        <w:left w:val="none" w:sz="0" w:space="0" w:color="auto"/>
        <w:bottom w:val="none" w:sz="0" w:space="0" w:color="auto"/>
        <w:right w:val="none" w:sz="0" w:space="0" w:color="auto"/>
      </w:divBdr>
    </w:div>
    <w:div w:id="1292857361">
      <w:bodyDiv w:val="1"/>
      <w:marLeft w:val="0"/>
      <w:marRight w:val="0"/>
      <w:marTop w:val="0"/>
      <w:marBottom w:val="0"/>
      <w:divBdr>
        <w:top w:val="none" w:sz="0" w:space="0" w:color="auto"/>
        <w:left w:val="none" w:sz="0" w:space="0" w:color="auto"/>
        <w:bottom w:val="none" w:sz="0" w:space="0" w:color="auto"/>
        <w:right w:val="none" w:sz="0" w:space="0" w:color="auto"/>
      </w:divBdr>
    </w:div>
    <w:div w:id="1331063140">
      <w:bodyDiv w:val="1"/>
      <w:marLeft w:val="0"/>
      <w:marRight w:val="0"/>
      <w:marTop w:val="0"/>
      <w:marBottom w:val="0"/>
      <w:divBdr>
        <w:top w:val="none" w:sz="0" w:space="0" w:color="auto"/>
        <w:left w:val="none" w:sz="0" w:space="0" w:color="auto"/>
        <w:bottom w:val="none" w:sz="0" w:space="0" w:color="auto"/>
        <w:right w:val="none" w:sz="0" w:space="0" w:color="auto"/>
      </w:divBdr>
    </w:div>
    <w:div w:id="1798839837">
      <w:bodyDiv w:val="1"/>
      <w:marLeft w:val="0"/>
      <w:marRight w:val="0"/>
      <w:marTop w:val="0"/>
      <w:marBottom w:val="0"/>
      <w:divBdr>
        <w:top w:val="none" w:sz="0" w:space="0" w:color="auto"/>
        <w:left w:val="none" w:sz="0" w:space="0" w:color="auto"/>
        <w:bottom w:val="none" w:sz="0" w:space="0" w:color="auto"/>
        <w:right w:val="none" w:sz="0" w:space="0" w:color="auto"/>
      </w:divBdr>
    </w:div>
    <w:div w:id="2039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2025-03-28T15:53:00Z</dcterms:created>
  <dcterms:modified xsi:type="dcterms:W3CDTF">2025-03-28T15:53:00Z</dcterms:modified>
</cp:coreProperties>
</file>